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78" w:rsidRDefault="009D0D78" w:rsidP="005F61FB">
      <w:pPr>
        <w:spacing w:after="0" w:line="240" w:lineRule="auto"/>
        <w:ind w:left="1080" w:hanging="938"/>
        <w:jc w:val="center"/>
        <w:rPr>
          <w:rFonts w:ascii="Times New Roman" w:hAnsi="Times New Roman"/>
          <w:b/>
          <w:iCs/>
          <w:color w:val="000000"/>
          <w:sz w:val="28"/>
          <w:szCs w:val="28"/>
          <w:u w:val="single"/>
        </w:rPr>
      </w:pPr>
    </w:p>
    <w:p w:rsidR="005F61FB" w:rsidRPr="00BD4F18" w:rsidRDefault="005F61FB" w:rsidP="005F61FB">
      <w:pPr>
        <w:spacing w:after="0" w:line="240" w:lineRule="auto"/>
        <w:ind w:left="1080" w:hanging="938"/>
        <w:jc w:val="center"/>
        <w:rPr>
          <w:rFonts w:ascii="Times New Roman" w:hAnsi="Times New Roman"/>
          <w:b/>
          <w:iCs/>
          <w:color w:val="000000"/>
          <w:sz w:val="28"/>
          <w:szCs w:val="28"/>
          <w:u w:val="single"/>
        </w:rPr>
      </w:pPr>
      <w:r w:rsidRPr="00BD4F18">
        <w:rPr>
          <w:rFonts w:ascii="Times New Roman" w:hAnsi="Times New Roman"/>
          <w:b/>
          <w:iCs/>
          <w:color w:val="000000"/>
          <w:sz w:val="28"/>
          <w:szCs w:val="28"/>
          <w:u w:val="single"/>
        </w:rPr>
        <w:t>Priorytety Ministra do spraw pracy wydatkowania Krajowego Funduszu Szkoleniowego w roku 2026:</w:t>
      </w:r>
    </w:p>
    <w:p w:rsidR="005F61FB" w:rsidRPr="00BD4F18" w:rsidRDefault="005F61FB" w:rsidP="005F61FB">
      <w:pPr>
        <w:spacing w:after="0" w:line="240" w:lineRule="auto"/>
        <w:ind w:left="1080"/>
        <w:jc w:val="both"/>
        <w:rPr>
          <w:rFonts w:ascii="Times New Roman" w:hAnsi="Times New Roman"/>
          <w:b/>
          <w:i/>
          <w:color w:val="000000"/>
          <w:sz w:val="24"/>
          <w:szCs w:val="24"/>
          <w:u w:val="single"/>
        </w:rPr>
      </w:pPr>
      <w:bookmarkStart w:id="0" w:name="_GoBack"/>
    </w:p>
    <w:bookmarkEnd w:id="0"/>
    <w:p w:rsidR="00583A8A" w:rsidRDefault="00BD4F18" w:rsidP="00583A8A">
      <w:pPr>
        <w:spacing w:after="0" w:line="240" w:lineRule="auto"/>
        <w:ind w:left="993" w:hanging="567"/>
        <w:jc w:val="both"/>
        <w:rPr>
          <w:rFonts w:ascii="Times New Roman" w:hAnsi="Times New Roman"/>
          <w:b/>
          <w:kern w:val="3"/>
          <w:sz w:val="24"/>
          <w:szCs w:val="24"/>
          <w:lang w:bidi="hi-IN"/>
        </w:rPr>
      </w:pPr>
      <w:r>
        <w:rPr>
          <w:rFonts w:ascii="Times New Roman" w:hAnsi="Times New Roman"/>
          <w:b/>
          <w:sz w:val="24"/>
          <w:szCs w:val="24"/>
        </w:rPr>
        <w:t xml:space="preserve">1: </w:t>
      </w:r>
      <w:r w:rsidR="005F61FB" w:rsidRPr="00BD4F18">
        <w:rPr>
          <w:rFonts w:ascii="Times New Roman" w:hAnsi="Times New Roman"/>
          <w:b/>
          <w:kern w:val="3"/>
          <w:sz w:val="24"/>
          <w:szCs w:val="24"/>
          <w:lang w:bidi="hi-IN"/>
        </w:rPr>
        <w:t xml:space="preserve">Poprawa zarządzania i komunikacji w firmie w oparciu o zasady przeciwdziałania </w:t>
      </w:r>
    </w:p>
    <w:p w:rsidR="00583A8A" w:rsidRDefault="00583A8A" w:rsidP="00583A8A">
      <w:pPr>
        <w:spacing w:after="0" w:line="240" w:lineRule="auto"/>
        <w:ind w:left="993" w:hanging="567"/>
        <w:jc w:val="both"/>
        <w:rPr>
          <w:rFonts w:ascii="Times New Roman" w:hAnsi="Times New Roman"/>
          <w:b/>
          <w:kern w:val="3"/>
          <w:sz w:val="24"/>
          <w:szCs w:val="24"/>
          <w:lang w:bidi="hi-IN"/>
        </w:rPr>
      </w:pPr>
      <w:r>
        <w:rPr>
          <w:rFonts w:ascii="Times New Roman" w:hAnsi="Times New Roman"/>
          <w:b/>
          <w:kern w:val="3"/>
          <w:sz w:val="24"/>
          <w:szCs w:val="24"/>
          <w:lang w:bidi="hi-IN"/>
        </w:rPr>
        <w:t xml:space="preserve">    </w:t>
      </w:r>
      <w:r w:rsidR="005F61FB" w:rsidRPr="00BD4F18">
        <w:rPr>
          <w:rFonts w:ascii="Times New Roman" w:hAnsi="Times New Roman"/>
          <w:b/>
          <w:kern w:val="3"/>
          <w:sz w:val="24"/>
          <w:szCs w:val="24"/>
          <w:lang w:bidi="hi-IN"/>
        </w:rPr>
        <w:t xml:space="preserve">dyskryminacji i </w:t>
      </w:r>
      <w:proofErr w:type="spellStart"/>
      <w:r w:rsidR="005F61FB" w:rsidRPr="00BD4F18">
        <w:rPr>
          <w:rFonts w:ascii="Times New Roman" w:hAnsi="Times New Roman"/>
          <w:b/>
          <w:kern w:val="3"/>
          <w:sz w:val="24"/>
          <w:szCs w:val="24"/>
          <w:lang w:bidi="hi-IN"/>
        </w:rPr>
        <w:t>mobbingowi</w:t>
      </w:r>
      <w:proofErr w:type="spellEnd"/>
      <w:r w:rsidR="005F61FB" w:rsidRPr="00BD4F18">
        <w:rPr>
          <w:rFonts w:ascii="Times New Roman" w:hAnsi="Times New Roman"/>
          <w:b/>
          <w:kern w:val="3"/>
          <w:sz w:val="24"/>
          <w:szCs w:val="24"/>
          <w:lang w:bidi="hi-IN"/>
        </w:rPr>
        <w:t>, rozwoju dialog</w:t>
      </w:r>
      <w:r w:rsidR="00D827DE" w:rsidRPr="00BD4F18">
        <w:rPr>
          <w:rFonts w:ascii="Times New Roman" w:hAnsi="Times New Roman"/>
          <w:b/>
          <w:kern w:val="3"/>
          <w:sz w:val="24"/>
          <w:szCs w:val="24"/>
          <w:lang w:bidi="hi-IN"/>
        </w:rPr>
        <w:t>u</w:t>
      </w:r>
      <w:r w:rsidR="005F61FB" w:rsidRPr="00BD4F18">
        <w:rPr>
          <w:rFonts w:ascii="Times New Roman" w:hAnsi="Times New Roman"/>
          <w:b/>
          <w:kern w:val="3"/>
          <w:sz w:val="24"/>
          <w:szCs w:val="24"/>
          <w:lang w:bidi="hi-IN"/>
        </w:rPr>
        <w:t xml:space="preserve"> społecznego, partycypacji </w:t>
      </w:r>
    </w:p>
    <w:p w:rsidR="005F61FB" w:rsidRPr="00BD4F18" w:rsidRDefault="00583A8A" w:rsidP="00583A8A">
      <w:pPr>
        <w:spacing w:after="0" w:line="240" w:lineRule="auto"/>
        <w:ind w:left="993" w:hanging="567"/>
        <w:jc w:val="both"/>
        <w:rPr>
          <w:rFonts w:ascii="Times New Roman" w:hAnsi="Times New Roman"/>
          <w:b/>
          <w:kern w:val="3"/>
          <w:sz w:val="24"/>
          <w:szCs w:val="24"/>
          <w:lang w:bidi="hi-IN"/>
        </w:rPr>
      </w:pPr>
      <w:r>
        <w:rPr>
          <w:rFonts w:ascii="Times New Roman" w:hAnsi="Times New Roman"/>
          <w:b/>
          <w:kern w:val="3"/>
          <w:sz w:val="24"/>
          <w:szCs w:val="24"/>
          <w:lang w:bidi="hi-IN"/>
        </w:rPr>
        <w:t xml:space="preserve">    </w:t>
      </w:r>
      <w:r w:rsidR="005F61FB" w:rsidRPr="00BD4F18">
        <w:rPr>
          <w:rFonts w:ascii="Times New Roman" w:hAnsi="Times New Roman"/>
          <w:b/>
          <w:kern w:val="3"/>
          <w:sz w:val="24"/>
          <w:szCs w:val="24"/>
          <w:lang w:bidi="hi-IN"/>
        </w:rPr>
        <w:t>pracowniczej i wspierania integracji w miejscu pracy.</w:t>
      </w:r>
    </w:p>
    <w:p w:rsidR="005F61FB" w:rsidRPr="00BD4F18" w:rsidRDefault="005F61FB" w:rsidP="006718AC">
      <w:pPr>
        <w:spacing w:after="0" w:line="240" w:lineRule="auto"/>
        <w:jc w:val="both"/>
        <w:rPr>
          <w:rFonts w:ascii="Times New Roman" w:hAnsi="Times New Roman"/>
          <w:b/>
          <w:kern w:val="3"/>
          <w:sz w:val="24"/>
          <w:szCs w:val="24"/>
          <w:lang w:bidi="hi-IN"/>
        </w:rPr>
      </w:pP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Kształcenie ustawiczne powinno zawierać tematykę, w ramach której osoby uprawnione zostaną wyposażenie w wiedzę i umiejętności:</w:t>
      </w:r>
    </w:p>
    <w:p w:rsidR="005F61FB" w:rsidRPr="00BD4F18" w:rsidRDefault="005F61FB" w:rsidP="005F61FB">
      <w:pPr>
        <w:numPr>
          <w:ilvl w:val="0"/>
          <w:numId w:val="1"/>
        </w:numPr>
        <w:spacing w:after="0" w:line="240" w:lineRule="auto"/>
        <w:ind w:left="1560" w:hanging="284"/>
        <w:jc w:val="both"/>
        <w:rPr>
          <w:rFonts w:ascii="Times New Roman" w:hAnsi="Times New Roman"/>
          <w:sz w:val="24"/>
          <w:szCs w:val="24"/>
        </w:rPr>
      </w:pPr>
      <w:r w:rsidRPr="00BD4F18">
        <w:rPr>
          <w:rFonts w:ascii="Times New Roman" w:hAnsi="Times New Roman"/>
          <w:sz w:val="24"/>
          <w:szCs w:val="24"/>
        </w:rPr>
        <w:t xml:space="preserve"> do rozpoznawania, rozumienia i przeciwdziałania </w:t>
      </w:r>
      <w:proofErr w:type="spellStart"/>
      <w:r w:rsidRPr="00BD4F18">
        <w:rPr>
          <w:rFonts w:ascii="Times New Roman" w:hAnsi="Times New Roman"/>
          <w:sz w:val="24"/>
          <w:szCs w:val="24"/>
        </w:rPr>
        <w:t>mobbingowi</w:t>
      </w:r>
      <w:proofErr w:type="spellEnd"/>
      <w:r w:rsidRPr="00BD4F18">
        <w:rPr>
          <w:rFonts w:ascii="Times New Roman" w:hAnsi="Times New Roman"/>
          <w:sz w:val="24"/>
          <w:szCs w:val="24"/>
        </w:rPr>
        <w:t xml:space="preserve"> w miejscu pracy, co zwiększy ich uważność na sposób komunikacji i budowania relacji w ich zespołach,</w:t>
      </w:r>
    </w:p>
    <w:p w:rsidR="005F61FB" w:rsidRPr="00BD4F18" w:rsidRDefault="005F61FB" w:rsidP="005F61FB">
      <w:pPr>
        <w:numPr>
          <w:ilvl w:val="0"/>
          <w:numId w:val="1"/>
        </w:numPr>
        <w:spacing w:after="0" w:line="240" w:lineRule="auto"/>
        <w:ind w:left="1560" w:hanging="284"/>
        <w:jc w:val="both"/>
        <w:rPr>
          <w:rFonts w:ascii="Times New Roman" w:hAnsi="Times New Roman"/>
          <w:sz w:val="24"/>
          <w:szCs w:val="24"/>
        </w:rPr>
      </w:pPr>
      <w:r w:rsidRPr="00BD4F18">
        <w:rPr>
          <w:rFonts w:ascii="Times New Roman" w:hAnsi="Times New Roman"/>
          <w:sz w:val="24"/>
          <w:szCs w:val="24"/>
        </w:rPr>
        <w:t xml:space="preserve"> dotyczące różnych form </w:t>
      </w:r>
      <w:proofErr w:type="spellStart"/>
      <w:r w:rsidRPr="00BD4F18">
        <w:rPr>
          <w:rFonts w:ascii="Times New Roman" w:hAnsi="Times New Roman"/>
          <w:sz w:val="24"/>
          <w:szCs w:val="24"/>
        </w:rPr>
        <w:t>mobbingu</w:t>
      </w:r>
      <w:proofErr w:type="spellEnd"/>
      <w:r w:rsidRPr="00BD4F18">
        <w:rPr>
          <w:rFonts w:ascii="Times New Roman" w:hAnsi="Times New Roman"/>
          <w:sz w:val="24"/>
          <w:szCs w:val="24"/>
        </w:rPr>
        <w:t xml:space="preserve">, jak rozumieć jego wpływ na zespół oraz jak skutecznie reagować i zapobiegać sytuacjom o charakterze </w:t>
      </w:r>
      <w:proofErr w:type="spellStart"/>
      <w:r w:rsidRPr="00BD4F18">
        <w:rPr>
          <w:rFonts w:ascii="Times New Roman" w:hAnsi="Times New Roman"/>
          <w:sz w:val="24"/>
          <w:szCs w:val="24"/>
        </w:rPr>
        <w:t>mobbingu</w:t>
      </w:r>
      <w:proofErr w:type="spellEnd"/>
      <w:r w:rsidRPr="00BD4F18">
        <w:rPr>
          <w:rFonts w:ascii="Times New Roman" w:hAnsi="Times New Roman"/>
          <w:sz w:val="24"/>
          <w:szCs w:val="24"/>
        </w:rPr>
        <w:t xml:space="preserve"> w przyszłości,</w:t>
      </w:r>
    </w:p>
    <w:p w:rsidR="00417A9A" w:rsidRPr="00BD4F18" w:rsidRDefault="005F61FB" w:rsidP="00417A9A">
      <w:pPr>
        <w:numPr>
          <w:ilvl w:val="0"/>
          <w:numId w:val="1"/>
        </w:numPr>
        <w:spacing w:after="0" w:line="240" w:lineRule="auto"/>
        <w:ind w:left="1560" w:hanging="284"/>
        <w:jc w:val="both"/>
        <w:rPr>
          <w:rFonts w:ascii="Times New Roman" w:hAnsi="Times New Roman"/>
          <w:sz w:val="24"/>
          <w:szCs w:val="24"/>
        </w:rPr>
      </w:pPr>
      <w:r w:rsidRPr="00BD4F18">
        <w:rPr>
          <w:rFonts w:ascii="Times New Roman" w:hAnsi="Times New Roman"/>
          <w:sz w:val="24"/>
          <w:szCs w:val="24"/>
        </w:rPr>
        <w:t xml:space="preserve"> rozpoznawania/ uważności (szczególnie menedżerowie/pracodawcy) na zachowania i relacje w zespołach,</w:t>
      </w:r>
    </w:p>
    <w:p w:rsidR="00417A9A" w:rsidRPr="00BD4F18" w:rsidRDefault="005F61FB" w:rsidP="00417A9A">
      <w:pPr>
        <w:numPr>
          <w:ilvl w:val="0"/>
          <w:numId w:val="1"/>
        </w:numPr>
        <w:spacing w:after="0" w:line="240" w:lineRule="auto"/>
        <w:ind w:left="1560" w:hanging="284"/>
        <w:jc w:val="both"/>
        <w:rPr>
          <w:rFonts w:ascii="Times New Roman" w:hAnsi="Times New Roman"/>
          <w:sz w:val="24"/>
          <w:szCs w:val="24"/>
        </w:rPr>
      </w:pPr>
      <w:r w:rsidRPr="00BD4F18">
        <w:rPr>
          <w:rFonts w:ascii="Times New Roman" w:hAnsi="Times New Roman"/>
          <w:sz w:val="24"/>
          <w:szCs w:val="24"/>
        </w:rPr>
        <w:t>do promowania bezpiecznego i wspierającego środowiska pracy,</w:t>
      </w:r>
    </w:p>
    <w:p w:rsidR="005F61FB" w:rsidRPr="00BD4F18" w:rsidRDefault="005F61FB" w:rsidP="00417A9A">
      <w:pPr>
        <w:numPr>
          <w:ilvl w:val="0"/>
          <w:numId w:val="1"/>
        </w:numPr>
        <w:spacing w:after="0" w:line="240" w:lineRule="auto"/>
        <w:ind w:left="1560" w:hanging="284"/>
        <w:jc w:val="both"/>
        <w:rPr>
          <w:rFonts w:ascii="Times New Roman" w:hAnsi="Times New Roman"/>
          <w:sz w:val="24"/>
          <w:szCs w:val="24"/>
        </w:rPr>
      </w:pPr>
      <w:r w:rsidRPr="00BD4F18">
        <w:rPr>
          <w:rFonts w:ascii="Times New Roman" w:hAnsi="Times New Roman"/>
          <w:sz w:val="24"/>
          <w:szCs w:val="24"/>
        </w:rPr>
        <w:t xml:space="preserve"> na temat skutków społecznych i prawnych </w:t>
      </w:r>
      <w:proofErr w:type="spellStart"/>
      <w:r w:rsidRPr="00BD4F18">
        <w:rPr>
          <w:rFonts w:ascii="Times New Roman" w:hAnsi="Times New Roman"/>
          <w:sz w:val="24"/>
          <w:szCs w:val="24"/>
        </w:rPr>
        <w:t>mobbingu</w:t>
      </w:r>
      <w:proofErr w:type="spellEnd"/>
      <w:r w:rsidRPr="00BD4F18">
        <w:rPr>
          <w:rFonts w:ascii="Times New Roman" w:hAnsi="Times New Roman"/>
          <w:sz w:val="24"/>
          <w:szCs w:val="24"/>
        </w:rPr>
        <w:t xml:space="preserve"> lub dyskryminacji,</w:t>
      </w:r>
    </w:p>
    <w:p w:rsidR="005F61FB" w:rsidRPr="00BD4F18" w:rsidRDefault="005F61FB" w:rsidP="005F61FB">
      <w:pPr>
        <w:numPr>
          <w:ilvl w:val="0"/>
          <w:numId w:val="1"/>
        </w:numPr>
        <w:spacing w:after="0" w:line="240" w:lineRule="auto"/>
        <w:ind w:left="1560" w:hanging="284"/>
        <w:jc w:val="both"/>
        <w:rPr>
          <w:rFonts w:ascii="Times New Roman" w:hAnsi="Times New Roman"/>
          <w:sz w:val="24"/>
          <w:szCs w:val="24"/>
        </w:rPr>
      </w:pPr>
      <w:r w:rsidRPr="00BD4F18">
        <w:rPr>
          <w:rFonts w:ascii="Times New Roman" w:hAnsi="Times New Roman"/>
          <w:sz w:val="24"/>
          <w:szCs w:val="24"/>
        </w:rPr>
        <w:t xml:space="preserve"> dotyczące wdrażania procedur przeciwdziałania i reagowania na przypadki nieprawidłowości.</w:t>
      </w:r>
    </w:p>
    <w:p w:rsidR="005F61FB" w:rsidRPr="00BD4F18" w:rsidRDefault="005F61FB" w:rsidP="005F61FB">
      <w:pPr>
        <w:spacing w:after="0" w:line="240" w:lineRule="auto"/>
        <w:jc w:val="both"/>
        <w:rPr>
          <w:rFonts w:ascii="Times New Roman" w:hAnsi="Times New Roman"/>
          <w:sz w:val="24"/>
          <w:szCs w:val="24"/>
        </w:rPr>
      </w:pP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Szkolenia tego typu mają na celu wzmocnienie umiejętności zarzadzania, poprawę komunikacji wewnętrznej oraz stworzenie środowiska opartego na równości, integracji i zaangażowaniu pracowników. Realizacja tych celów wpływa na budowanie kultury organizacyjnej, która sprzyja efektywności i zadowoleniu zespołu.</w:t>
      </w: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 xml:space="preserve"> </w:t>
      </w: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Priorytet ten ma również zachęcać do tworzenia i oferuje wsparcie w zakresie zasad funkcjonowania i działania rad pracowniczych - na poziomie unijnym i poszczególnych krajów UE. Ma pomóc znaleźć odpowiedź na pytanie jak promować reprezentację pracowniczą w postaci rad pracowniczych w Polsce. W obliczu wymogu prawnego powołania Rady Pracowników przez pracodawców zatrudniających co najmniej 50 pracowników lub na wniosek  co najmniej 10% załogi, staje się jasne, jak kluczowe jest prawidłowe funkcjonowanie tych organów.</w:t>
      </w:r>
    </w:p>
    <w:p w:rsidR="005F61FB" w:rsidRPr="00BD4F18" w:rsidRDefault="005F61FB" w:rsidP="005F61FB">
      <w:pPr>
        <w:tabs>
          <w:tab w:val="left" w:pos="1985"/>
        </w:tabs>
        <w:spacing w:after="0" w:line="240" w:lineRule="auto"/>
        <w:jc w:val="both"/>
        <w:rPr>
          <w:rFonts w:ascii="Times New Roman" w:hAnsi="Times New Roman"/>
          <w:b/>
          <w:sz w:val="24"/>
          <w:szCs w:val="24"/>
        </w:rPr>
      </w:pPr>
    </w:p>
    <w:p w:rsidR="00BD4F18" w:rsidRDefault="005F61FB" w:rsidP="00BD4F18">
      <w:pPr>
        <w:tabs>
          <w:tab w:val="left" w:pos="1560"/>
          <w:tab w:val="left" w:pos="2552"/>
        </w:tabs>
        <w:spacing w:after="0" w:line="240" w:lineRule="auto"/>
        <w:ind w:left="567"/>
        <w:jc w:val="both"/>
        <w:rPr>
          <w:rFonts w:ascii="Times New Roman" w:hAnsi="Times New Roman"/>
          <w:b/>
          <w:sz w:val="24"/>
          <w:szCs w:val="24"/>
        </w:rPr>
      </w:pPr>
      <w:r w:rsidRPr="00BD4F18">
        <w:rPr>
          <w:rFonts w:ascii="Times New Roman" w:hAnsi="Times New Roman"/>
          <w:b/>
          <w:sz w:val="24"/>
          <w:szCs w:val="24"/>
        </w:rPr>
        <w:t>2:  Wsparcie rozwoju umiejętności i kwalifika</w:t>
      </w:r>
      <w:r w:rsidR="00BD4F18">
        <w:rPr>
          <w:rFonts w:ascii="Times New Roman" w:hAnsi="Times New Roman"/>
          <w:b/>
          <w:sz w:val="24"/>
          <w:szCs w:val="24"/>
        </w:rPr>
        <w:t xml:space="preserve">cji w zawodach określonych jako </w:t>
      </w:r>
    </w:p>
    <w:p w:rsidR="005F61FB" w:rsidRPr="00BD4F18" w:rsidRDefault="00BD4F18" w:rsidP="00BD4F18">
      <w:pPr>
        <w:tabs>
          <w:tab w:val="left" w:pos="1560"/>
          <w:tab w:val="left" w:pos="2552"/>
        </w:tabs>
        <w:spacing w:after="0" w:line="240" w:lineRule="auto"/>
        <w:ind w:left="567"/>
        <w:jc w:val="both"/>
        <w:rPr>
          <w:rFonts w:ascii="Times New Roman" w:hAnsi="Times New Roman"/>
          <w:b/>
          <w:sz w:val="24"/>
          <w:szCs w:val="24"/>
        </w:rPr>
      </w:pPr>
      <w:r>
        <w:rPr>
          <w:rFonts w:ascii="Times New Roman" w:hAnsi="Times New Roman"/>
          <w:b/>
          <w:sz w:val="24"/>
          <w:szCs w:val="24"/>
        </w:rPr>
        <w:t xml:space="preserve">      </w:t>
      </w:r>
      <w:r w:rsidR="005F61FB" w:rsidRPr="00BD4F18">
        <w:rPr>
          <w:rFonts w:ascii="Times New Roman" w:hAnsi="Times New Roman"/>
          <w:b/>
          <w:sz w:val="24"/>
          <w:szCs w:val="24"/>
        </w:rPr>
        <w:t>deficytowe na danym terenie, tj. w powiecie lub w województwie</w:t>
      </w:r>
      <w:r w:rsidR="00D827DE" w:rsidRPr="00BD4F18">
        <w:rPr>
          <w:rFonts w:ascii="Times New Roman" w:hAnsi="Times New Roman"/>
          <w:b/>
          <w:sz w:val="24"/>
          <w:szCs w:val="24"/>
        </w:rPr>
        <w:t>.</w:t>
      </w:r>
    </w:p>
    <w:p w:rsidR="005F61FB" w:rsidRPr="00BD4F18" w:rsidRDefault="005F61FB" w:rsidP="005F61FB">
      <w:pPr>
        <w:spacing w:after="0" w:line="240" w:lineRule="auto"/>
        <w:ind w:left="1985" w:hanging="1985"/>
        <w:jc w:val="both"/>
        <w:rPr>
          <w:rFonts w:ascii="Times New Roman" w:hAnsi="Times New Roman"/>
          <w:sz w:val="24"/>
          <w:szCs w:val="24"/>
        </w:rPr>
      </w:pPr>
    </w:p>
    <w:p w:rsidR="005F61FB" w:rsidRPr="00BD4F18" w:rsidRDefault="005F61FB" w:rsidP="00BD4F18">
      <w:pPr>
        <w:spacing w:after="0" w:line="240" w:lineRule="auto"/>
        <w:jc w:val="both"/>
        <w:rPr>
          <w:rFonts w:ascii="Times New Roman" w:hAnsi="Times New Roman"/>
          <w:sz w:val="24"/>
          <w:szCs w:val="24"/>
        </w:rPr>
      </w:pPr>
      <w:r w:rsidRPr="00BD4F18">
        <w:rPr>
          <w:rFonts w:ascii="Times New Roman" w:hAnsi="Times New Roman"/>
          <w:sz w:val="24"/>
          <w:szCs w:val="24"/>
        </w:rPr>
        <w:t>Priorytet ten promuje działania szkoleniowe zapobiegające utracie zatrudnienia i rekrutację wewnętrzną na stanowiska w zawodach, w których występują niedobory kadrowe.</w:t>
      </w:r>
    </w:p>
    <w:p w:rsidR="005F61FB" w:rsidRPr="00BD4F18" w:rsidRDefault="005F61FB" w:rsidP="005F61FB">
      <w:pPr>
        <w:spacing w:before="100" w:beforeAutospacing="1" w:after="165" w:line="240" w:lineRule="auto"/>
        <w:rPr>
          <w:rFonts w:ascii="Times New Roman" w:hAnsi="Times New Roman"/>
          <w:color w:val="0000FF"/>
          <w:sz w:val="21"/>
          <w:szCs w:val="21"/>
          <w:u w:val="single"/>
        </w:rPr>
      </w:pPr>
      <w:r w:rsidRPr="00BD4F18">
        <w:rPr>
          <w:rFonts w:ascii="Times New Roman" w:hAnsi="Times New Roman"/>
          <w:sz w:val="24"/>
          <w:szCs w:val="24"/>
        </w:rPr>
        <w:t>Wnioskodawca, który chce spełnić wymagania niniejszego priorytetu powinien udowodnić, że wskazana forma kształcenia ustawicznego dotyczy zawodu deficytowego na terenie powiatu janowskiego lub województwa lubelskiego. Oznacza to zawód zidentyfikowany jako deficytowy w oparciu o wyniki badań zawarte w</w:t>
      </w:r>
      <w:r w:rsidRPr="00BD4F18">
        <w:rPr>
          <w:rFonts w:ascii="Times New Roman" w:hAnsi="Times New Roman"/>
          <w:sz w:val="21"/>
          <w:szCs w:val="21"/>
        </w:rPr>
        <w:t xml:space="preserve"> </w:t>
      </w:r>
      <w:hyperlink r:id="rId7" w:history="1">
        <w:r w:rsidRPr="00BD4F18">
          <w:rPr>
            <w:rFonts w:ascii="Times New Roman" w:hAnsi="Times New Roman"/>
            <w:i/>
            <w:iCs/>
            <w:color w:val="0000FF"/>
            <w:sz w:val="21"/>
            <w:szCs w:val="21"/>
            <w:u w:val="single"/>
          </w:rPr>
          <w:t>Barometrze zawodów 2026r. powiatu janowskiego</w:t>
        </w:r>
      </w:hyperlink>
      <w:r w:rsidRPr="00BD4F18">
        <w:rPr>
          <w:rFonts w:ascii="Times New Roman" w:hAnsi="Times New Roman"/>
          <w:sz w:val="21"/>
          <w:szCs w:val="21"/>
        </w:rPr>
        <w:t xml:space="preserve">  lub w </w:t>
      </w:r>
      <w:hyperlink r:id="rId8" w:history="1">
        <w:r w:rsidRPr="00BD4F18">
          <w:rPr>
            <w:rFonts w:ascii="Times New Roman" w:hAnsi="Times New Roman"/>
            <w:i/>
            <w:iCs/>
            <w:color w:val="0000FF"/>
            <w:sz w:val="21"/>
            <w:szCs w:val="21"/>
            <w:u w:val="single"/>
          </w:rPr>
          <w:t>Barometrze zawodów 2026r. województwa lubelskiego</w:t>
        </w:r>
        <w:r w:rsidRPr="00BD4F18">
          <w:rPr>
            <w:rFonts w:ascii="Times New Roman" w:hAnsi="Times New Roman"/>
            <w:color w:val="0000FF"/>
            <w:sz w:val="21"/>
            <w:szCs w:val="21"/>
            <w:u w:val="single"/>
          </w:rPr>
          <w:t>.</w:t>
        </w:r>
      </w:hyperlink>
    </w:p>
    <w:p w:rsidR="005F5AA8" w:rsidRPr="00BD4F18" w:rsidRDefault="005F5AA8" w:rsidP="005F5AA8">
      <w:pPr>
        <w:spacing w:before="100" w:beforeAutospacing="1" w:after="165" w:line="240" w:lineRule="auto"/>
        <w:jc w:val="center"/>
        <w:rPr>
          <w:rFonts w:ascii="Times New Roman" w:hAnsi="Times New Roman"/>
          <w:b/>
          <w:bCs/>
          <w:sz w:val="24"/>
          <w:szCs w:val="24"/>
        </w:rPr>
      </w:pPr>
      <w:r w:rsidRPr="00BD4F18">
        <w:rPr>
          <w:rFonts w:ascii="Times New Roman" w:hAnsi="Times New Roman"/>
          <w:b/>
          <w:bCs/>
          <w:sz w:val="24"/>
          <w:szCs w:val="24"/>
        </w:rPr>
        <w:lastRenderedPageBreak/>
        <w:t>Wykaz zawodów deficytowych w województwie lubelskim zgodny </w:t>
      </w:r>
      <w:r w:rsidRPr="00BD4F18">
        <w:rPr>
          <w:rFonts w:ascii="Times New Roman" w:hAnsi="Times New Roman"/>
          <w:sz w:val="24"/>
          <w:szCs w:val="24"/>
        </w:rPr>
        <w:br/>
      </w:r>
      <w:r w:rsidRPr="00BD4F18">
        <w:rPr>
          <w:rFonts w:ascii="Times New Roman" w:hAnsi="Times New Roman"/>
          <w:b/>
          <w:bCs/>
          <w:sz w:val="24"/>
          <w:szCs w:val="24"/>
        </w:rPr>
        <w:t>z ,,Barometrem zawodów 2026”:</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Dekarze i blacharze budowlani</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Elektrycy i energetycy</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Kierowcy autobusów</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 xml:space="preserve">Kierowcy samochodów ciężarowych i ciągników siodłowych </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Kucharze</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Lekarze</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Magazynierzy</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Monterzy instalacji budowlanych</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Nauczyciele praktycznej nauki zawodu</w:t>
      </w:r>
    </w:p>
    <w:p w:rsidR="003948C3" w:rsidRPr="00BD4F18" w:rsidRDefault="003948C3"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Nauczyciele przedmiotów zawodowych</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Nauczyciele szkół specjalnych i oddziałów integracyjnych</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Operatorzy i mechanicy sprzętu do robot ziemnych</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Piekarze</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Pielęgniarki i położne</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 xml:space="preserve">Pracownicy ds. rachunkowości i księgowości </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Pracownicy służb mundurowych</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Psycholodzy i terapeuci</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Samodzielni księgowi</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Spawacze</w:t>
      </w:r>
    </w:p>
    <w:p w:rsidR="005F5AA8" w:rsidRPr="00BD4F18" w:rsidRDefault="005F5AA8" w:rsidP="005F5AA8">
      <w:pPr>
        <w:pStyle w:val="Akapitzlist"/>
        <w:spacing w:before="100" w:beforeAutospacing="1" w:after="165" w:line="240" w:lineRule="auto"/>
        <w:jc w:val="center"/>
        <w:rPr>
          <w:rFonts w:ascii="Times New Roman" w:hAnsi="Times New Roman"/>
          <w:b/>
          <w:bCs/>
          <w:sz w:val="24"/>
          <w:szCs w:val="24"/>
        </w:rPr>
      </w:pPr>
      <w:r w:rsidRPr="00BD4F18">
        <w:rPr>
          <w:rFonts w:ascii="Times New Roman" w:hAnsi="Times New Roman"/>
          <w:b/>
          <w:bCs/>
          <w:sz w:val="24"/>
          <w:szCs w:val="24"/>
        </w:rPr>
        <w:t>Wykaz zawodów deficytowych w powiecie janowskim zgodny </w:t>
      </w:r>
      <w:r w:rsidRPr="00BD4F18">
        <w:rPr>
          <w:rFonts w:ascii="Times New Roman" w:hAnsi="Times New Roman"/>
          <w:sz w:val="24"/>
          <w:szCs w:val="24"/>
        </w:rPr>
        <w:br/>
      </w:r>
      <w:r w:rsidRPr="00BD4F18">
        <w:rPr>
          <w:rFonts w:ascii="Times New Roman" w:hAnsi="Times New Roman"/>
          <w:b/>
          <w:bCs/>
          <w:sz w:val="24"/>
          <w:szCs w:val="24"/>
        </w:rPr>
        <w:t>z ,,Barometrem zawodów 2026”:</w:t>
      </w:r>
    </w:p>
    <w:p w:rsidR="005F5AA8" w:rsidRPr="00BD4F18" w:rsidRDefault="005F5AA8" w:rsidP="005F5AA8">
      <w:pPr>
        <w:pStyle w:val="Akapitzlist"/>
        <w:spacing w:before="100" w:beforeAutospacing="1" w:after="165" w:line="240" w:lineRule="auto"/>
        <w:jc w:val="center"/>
        <w:rPr>
          <w:rFonts w:ascii="Times New Roman" w:hAnsi="Times New Roman"/>
          <w:b/>
          <w:bCs/>
          <w:sz w:val="24"/>
          <w:szCs w:val="24"/>
        </w:rPr>
      </w:pP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Cieśle i stolarze budowlani</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Dekarze i blacharze budowlani</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Diagności samochodowi</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Elektrycy i energetycy</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 xml:space="preserve">Kierowcy samochodów ciężarowych i ciągników siodłowych </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Lekarze</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Magazynierzy</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Nauczyciele praktycznej nauki zawodu</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Nauczyciele przedmiotów zawodowych</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Operatorzy i mechanicy sprzętu do robot ziemnych</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Pielęgniarki i położne</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 xml:space="preserve">Pracownicy ds. rachunkowości i księgowości </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Pracownicy służb mundurowych</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Psycholodzy i terapeuci</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bCs/>
          <w:sz w:val="24"/>
          <w:szCs w:val="24"/>
        </w:rPr>
      </w:pPr>
      <w:r w:rsidRPr="00BD4F18">
        <w:rPr>
          <w:rFonts w:ascii="Times New Roman" w:hAnsi="Times New Roman"/>
          <w:bCs/>
          <w:sz w:val="24"/>
          <w:szCs w:val="24"/>
        </w:rPr>
        <w:t>Samodzielni księgowi</w:t>
      </w:r>
    </w:p>
    <w:p w:rsidR="005F5AA8" w:rsidRPr="00BD4F18" w:rsidRDefault="005F5AA8" w:rsidP="005F5AA8">
      <w:pPr>
        <w:pStyle w:val="Akapitzlist"/>
        <w:numPr>
          <w:ilvl w:val="0"/>
          <w:numId w:val="3"/>
        </w:numPr>
        <w:spacing w:before="100" w:beforeAutospacing="1" w:after="165" w:line="240" w:lineRule="auto"/>
        <w:rPr>
          <w:rFonts w:ascii="Times New Roman" w:hAnsi="Times New Roman"/>
          <w:sz w:val="24"/>
          <w:szCs w:val="24"/>
        </w:rPr>
      </w:pPr>
      <w:r w:rsidRPr="00BD4F18">
        <w:rPr>
          <w:rFonts w:ascii="Times New Roman" w:hAnsi="Times New Roman"/>
          <w:bCs/>
          <w:sz w:val="24"/>
          <w:szCs w:val="24"/>
        </w:rPr>
        <w:t>Spawacze</w:t>
      </w: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 xml:space="preserve">Z dofinansowania form kształcenia ustawicznego w ramach tego priorytetu mogą skorzystać zarówno osoby pracujące w zawodach określonych jako deficytowe jak i osoby zamierzające wykonywać zadania związane z zawodem deficytowym </w:t>
      </w:r>
      <w:r w:rsidR="0021201A" w:rsidRPr="00BD4F18">
        <w:rPr>
          <w:rFonts w:ascii="Times New Roman" w:hAnsi="Times New Roman"/>
          <w:sz w:val="24"/>
          <w:szCs w:val="24"/>
        </w:rPr>
        <w:t>po ukończeniu kształcenia</w:t>
      </w:r>
      <w:r w:rsidRPr="00BD4F18">
        <w:rPr>
          <w:rFonts w:ascii="Times New Roman" w:hAnsi="Times New Roman"/>
          <w:sz w:val="24"/>
          <w:szCs w:val="24"/>
        </w:rPr>
        <w:t xml:space="preserve">.   </w:t>
      </w:r>
    </w:p>
    <w:p w:rsidR="005F61FB" w:rsidRPr="00BD4F18" w:rsidRDefault="005F61FB" w:rsidP="005F61FB">
      <w:pPr>
        <w:spacing w:after="0" w:line="240" w:lineRule="auto"/>
        <w:jc w:val="both"/>
        <w:rPr>
          <w:rFonts w:ascii="Times New Roman" w:hAnsi="Times New Roman"/>
          <w:color w:val="000000"/>
          <w:sz w:val="24"/>
          <w:szCs w:val="24"/>
        </w:rPr>
      </w:pPr>
    </w:p>
    <w:p w:rsidR="00583A8A" w:rsidRDefault="005F61FB" w:rsidP="00583A8A">
      <w:pPr>
        <w:tabs>
          <w:tab w:val="left" w:pos="1701"/>
        </w:tabs>
        <w:spacing w:after="0" w:line="240" w:lineRule="auto"/>
        <w:ind w:left="567"/>
        <w:jc w:val="both"/>
        <w:rPr>
          <w:rFonts w:ascii="Times New Roman" w:hAnsi="Times New Roman"/>
          <w:b/>
          <w:sz w:val="24"/>
          <w:szCs w:val="24"/>
        </w:rPr>
      </w:pPr>
      <w:r w:rsidRPr="00BD4F18">
        <w:rPr>
          <w:rFonts w:ascii="Times New Roman" w:hAnsi="Times New Roman"/>
          <w:b/>
          <w:sz w:val="24"/>
          <w:szCs w:val="24"/>
        </w:rPr>
        <w:t xml:space="preserve">3: Wsparcie kształcenia ustawicznego w związku z zastosowaniem w firmach </w:t>
      </w:r>
    </w:p>
    <w:p w:rsidR="00583A8A" w:rsidRDefault="00583A8A" w:rsidP="00583A8A">
      <w:pPr>
        <w:tabs>
          <w:tab w:val="left" w:pos="1701"/>
        </w:tabs>
        <w:spacing w:after="0" w:line="240" w:lineRule="auto"/>
        <w:ind w:left="567"/>
        <w:jc w:val="both"/>
        <w:rPr>
          <w:rFonts w:ascii="Times New Roman" w:hAnsi="Times New Roman"/>
          <w:b/>
          <w:sz w:val="24"/>
          <w:szCs w:val="24"/>
        </w:rPr>
      </w:pPr>
      <w:r>
        <w:rPr>
          <w:rFonts w:ascii="Times New Roman" w:hAnsi="Times New Roman"/>
          <w:b/>
          <w:sz w:val="24"/>
          <w:szCs w:val="24"/>
        </w:rPr>
        <w:t xml:space="preserve">    </w:t>
      </w:r>
      <w:r w:rsidR="005F61FB" w:rsidRPr="00BD4F18">
        <w:rPr>
          <w:rFonts w:ascii="Times New Roman" w:hAnsi="Times New Roman"/>
          <w:b/>
          <w:sz w:val="24"/>
          <w:szCs w:val="24"/>
        </w:rPr>
        <w:t xml:space="preserve">nowych procesów, technologii i narzędzi pracy, ze szczególnym uwzględnieniem </w:t>
      </w:r>
    </w:p>
    <w:p w:rsidR="00583A8A" w:rsidRDefault="00583A8A" w:rsidP="00583A8A">
      <w:pPr>
        <w:tabs>
          <w:tab w:val="left" w:pos="1701"/>
        </w:tabs>
        <w:spacing w:after="0" w:line="240" w:lineRule="auto"/>
        <w:ind w:left="567"/>
        <w:jc w:val="both"/>
        <w:rPr>
          <w:rFonts w:ascii="Times New Roman" w:hAnsi="Times New Roman"/>
          <w:b/>
          <w:sz w:val="24"/>
          <w:szCs w:val="24"/>
        </w:rPr>
      </w:pPr>
      <w:r>
        <w:rPr>
          <w:rFonts w:ascii="Times New Roman" w:hAnsi="Times New Roman"/>
          <w:b/>
          <w:sz w:val="24"/>
          <w:szCs w:val="24"/>
        </w:rPr>
        <w:lastRenderedPageBreak/>
        <w:t xml:space="preserve">    </w:t>
      </w:r>
      <w:r w:rsidR="005F61FB" w:rsidRPr="00BD4F18">
        <w:rPr>
          <w:rFonts w:ascii="Times New Roman" w:hAnsi="Times New Roman"/>
          <w:b/>
          <w:sz w:val="24"/>
          <w:szCs w:val="24"/>
        </w:rPr>
        <w:t xml:space="preserve">umiejętności cyfrowych, Al oraz tzw. umiejętności zielonych, zwłaszcza gdy </w:t>
      </w:r>
    </w:p>
    <w:p w:rsidR="005F61FB" w:rsidRPr="00BD4F18" w:rsidRDefault="00583A8A" w:rsidP="00583A8A">
      <w:pPr>
        <w:tabs>
          <w:tab w:val="left" w:pos="1701"/>
        </w:tabs>
        <w:spacing w:after="0" w:line="240" w:lineRule="auto"/>
        <w:ind w:left="567"/>
        <w:jc w:val="both"/>
        <w:rPr>
          <w:rFonts w:ascii="Times New Roman" w:hAnsi="Times New Roman"/>
          <w:b/>
          <w:kern w:val="3"/>
          <w:sz w:val="24"/>
          <w:szCs w:val="24"/>
          <w:lang w:bidi="hi-IN"/>
        </w:rPr>
      </w:pPr>
      <w:r>
        <w:rPr>
          <w:rFonts w:ascii="Times New Roman" w:hAnsi="Times New Roman"/>
          <w:b/>
          <w:sz w:val="24"/>
          <w:szCs w:val="24"/>
        </w:rPr>
        <w:t xml:space="preserve">    </w:t>
      </w:r>
      <w:r w:rsidR="005F61FB" w:rsidRPr="00BD4F18">
        <w:rPr>
          <w:rFonts w:ascii="Times New Roman" w:hAnsi="Times New Roman"/>
          <w:b/>
          <w:sz w:val="24"/>
          <w:szCs w:val="24"/>
        </w:rPr>
        <w:t>powyższe czynniki stanowią zagrożenie utratą pracy.</w:t>
      </w:r>
    </w:p>
    <w:p w:rsidR="005F61FB" w:rsidRPr="00BD4F18" w:rsidRDefault="005F61FB" w:rsidP="005F61FB">
      <w:pPr>
        <w:spacing w:after="0" w:line="240" w:lineRule="auto"/>
        <w:ind w:left="709"/>
        <w:jc w:val="both"/>
        <w:rPr>
          <w:rFonts w:ascii="Times New Roman" w:hAnsi="Times New Roman"/>
          <w:b/>
          <w:sz w:val="24"/>
          <w:szCs w:val="24"/>
        </w:rPr>
      </w:pP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 xml:space="preserve">Wnioskodawca chcący skorzystać ze środków KFS w ramach wyżej wymienionego priorytetu powinien udowodnić, że w ciągu jednego roku przed złożeniem wniosku bądź w ciągu trzech miesięcy po jego złożeniu zostały/ zostaną zakupione nowe maszyny i narzędzia, bądź zostały/ będą wdrożone nowe procesy, technologie i systemy, a osoby objęte kształceniem ustawicznym będą wykonywać nowe zadania związane z wprowadzonymi /planowanymi do wprowadzenia zmianami zwłaszcza związanymi z wykorzystaniem kompetencji cyfrowych czy zastosowaniem umiejętności </w:t>
      </w:r>
      <w:r w:rsidR="00D827DE" w:rsidRPr="00BD4F18">
        <w:rPr>
          <w:rFonts w:ascii="Times New Roman" w:hAnsi="Times New Roman"/>
          <w:sz w:val="24"/>
          <w:szCs w:val="24"/>
        </w:rPr>
        <w:t>zielonych</w:t>
      </w:r>
      <w:r w:rsidRPr="00BD4F18">
        <w:rPr>
          <w:rFonts w:ascii="Times New Roman" w:hAnsi="Times New Roman"/>
          <w:sz w:val="24"/>
          <w:szCs w:val="24"/>
        </w:rPr>
        <w:t>.</w:t>
      </w:r>
    </w:p>
    <w:p w:rsidR="005F61FB" w:rsidRPr="00BD4F18" w:rsidRDefault="005F61FB" w:rsidP="005F61FB">
      <w:pPr>
        <w:spacing w:after="0" w:line="240" w:lineRule="auto"/>
        <w:jc w:val="both"/>
        <w:rPr>
          <w:rFonts w:ascii="Times New Roman" w:hAnsi="Times New Roman"/>
          <w:sz w:val="24"/>
          <w:szCs w:val="24"/>
        </w:rPr>
      </w:pP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Decyzja o uwzględnieniu wniosku złożonego w ramach ww. priorytetu zostanie podjęta na podstawie jakiegokolwiek wiarygodnego dla urzędu dokumentu dostarczonego przez wnioskodawcę, np. kopii dokumentu zakupu, decyzji dyrektora/ zarządu o wprowadzeniu norm ISO, itp. oraz logicznego i wiarygodnego uzasadnienia.</w:t>
      </w:r>
    </w:p>
    <w:p w:rsidR="005F61FB" w:rsidRPr="00BD4F18" w:rsidRDefault="005F61FB" w:rsidP="005F61FB">
      <w:pPr>
        <w:spacing w:after="0" w:line="240" w:lineRule="auto"/>
        <w:jc w:val="both"/>
        <w:rPr>
          <w:rFonts w:ascii="Times New Roman" w:hAnsi="Times New Roman"/>
          <w:sz w:val="24"/>
          <w:szCs w:val="24"/>
        </w:rPr>
      </w:pP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rsidR="005F61FB" w:rsidRPr="00BD4F18" w:rsidRDefault="005F61FB" w:rsidP="005F61FB">
      <w:pPr>
        <w:spacing w:after="0" w:line="240" w:lineRule="auto"/>
        <w:jc w:val="both"/>
        <w:rPr>
          <w:rFonts w:ascii="Times New Roman" w:hAnsi="Times New Roman"/>
          <w:sz w:val="24"/>
          <w:szCs w:val="24"/>
        </w:rPr>
      </w:pPr>
    </w:p>
    <w:p w:rsidR="005F61FB" w:rsidRPr="00BD4F18" w:rsidRDefault="005F61FB" w:rsidP="005F61FB">
      <w:pPr>
        <w:tabs>
          <w:tab w:val="left" w:pos="1701"/>
        </w:tabs>
        <w:spacing w:after="0" w:line="240" w:lineRule="auto"/>
        <w:jc w:val="both"/>
        <w:rPr>
          <w:rFonts w:ascii="Times New Roman" w:hAnsi="Times New Roman"/>
          <w:sz w:val="24"/>
          <w:szCs w:val="24"/>
        </w:rPr>
      </w:pPr>
    </w:p>
    <w:p w:rsidR="005F61FB" w:rsidRPr="00BD4F18" w:rsidRDefault="005F61FB" w:rsidP="005F61FB">
      <w:pPr>
        <w:tabs>
          <w:tab w:val="left" w:pos="1985"/>
        </w:tabs>
        <w:spacing w:after="0" w:line="240" w:lineRule="auto"/>
        <w:ind w:left="567" w:hanging="283"/>
        <w:jc w:val="both"/>
        <w:rPr>
          <w:rFonts w:ascii="Times New Roman" w:hAnsi="Times New Roman"/>
          <w:b/>
          <w:kern w:val="3"/>
          <w:sz w:val="24"/>
          <w:szCs w:val="24"/>
          <w:lang w:bidi="hi-IN"/>
        </w:rPr>
      </w:pPr>
      <w:r w:rsidRPr="00BD4F18">
        <w:rPr>
          <w:rFonts w:ascii="Times New Roman" w:hAnsi="Times New Roman"/>
          <w:b/>
          <w:color w:val="000000"/>
          <w:sz w:val="24"/>
          <w:szCs w:val="24"/>
        </w:rPr>
        <w:t xml:space="preserve">4: </w:t>
      </w:r>
      <w:r w:rsidRPr="00BD4F18">
        <w:rPr>
          <w:rFonts w:ascii="Times New Roman" w:hAnsi="Times New Roman"/>
          <w:b/>
          <w:kern w:val="3"/>
          <w:sz w:val="24"/>
          <w:szCs w:val="24"/>
          <w:lang w:bidi="hi-IN"/>
        </w:rPr>
        <w:t xml:space="preserve">Wsparcie rozwoju umiejętności i kwalifikacji w sektorze usług zdrowotnych i opiekuńczych oraz wsparcie rozwoju umiejętności i kwalifikacji członków lub pracowników spółdzielni socjalnych oraz pracowników zatrudnionych w przedsiębiorstwach społecznych wskazanych na liście/ rejestrze przedsiębiorstw społecznych prowadzonym przez </w:t>
      </w:r>
      <w:proofErr w:type="spellStart"/>
      <w:r w:rsidRPr="00BD4F18">
        <w:rPr>
          <w:rFonts w:ascii="Times New Roman" w:hAnsi="Times New Roman"/>
          <w:b/>
          <w:kern w:val="3"/>
          <w:sz w:val="24"/>
          <w:szCs w:val="24"/>
          <w:lang w:bidi="hi-IN"/>
        </w:rPr>
        <w:t>MRPiPS</w:t>
      </w:r>
      <w:proofErr w:type="spellEnd"/>
    </w:p>
    <w:p w:rsidR="005F61FB" w:rsidRPr="00BD4F18" w:rsidRDefault="005F61FB" w:rsidP="005F61FB">
      <w:pPr>
        <w:tabs>
          <w:tab w:val="left" w:pos="1985"/>
        </w:tabs>
        <w:spacing w:after="0" w:line="240" w:lineRule="auto"/>
        <w:ind w:left="2127" w:hanging="1560"/>
        <w:jc w:val="both"/>
        <w:rPr>
          <w:rFonts w:ascii="Times New Roman" w:hAnsi="Times New Roman"/>
          <w:b/>
          <w:kern w:val="3"/>
          <w:sz w:val="24"/>
          <w:szCs w:val="24"/>
          <w:lang w:bidi="hi-IN"/>
        </w:rPr>
      </w:pPr>
    </w:p>
    <w:p w:rsidR="00D827DE" w:rsidRPr="00BD4F18" w:rsidRDefault="00D827DE" w:rsidP="005F61FB">
      <w:pPr>
        <w:spacing w:after="0" w:line="240" w:lineRule="auto"/>
        <w:jc w:val="both"/>
        <w:rPr>
          <w:rFonts w:ascii="Times New Roman" w:hAnsi="Times New Roman"/>
          <w:sz w:val="24"/>
          <w:szCs w:val="24"/>
        </w:rPr>
      </w:pPr>
      <w:r w:rsidRPr="00BD4F18">
        <w:rPr>
          <w:rFonts w:ascii="Times New Roman" w:hAnsi="Times New Roman"/>
          <w:sz w:val="24"/>
          <w:szCs w:val="24"/>
        </w:rPr>
        <w:t>Priorytet niniejszy składa się z dwóch odrębnych   elementów adresowanych do odrębnych odbiorców. </w:t>
      </w:r>
    </w:p>
    <w:p w:rsidR="005F61FB" w:rsidRPr="00BD4F18" w:rsidRDefault="00D827DE" w:rsidP="005F61FB">
      <w:pPr>
        <w:spacing w:after="0" w:line="240" w:lineRule="auto"/>
        <w:jc w:val="both"/>
        <w:rPr>
          <w:rFonts w:ascii="Times New Roman" w:hAnsi="Times New Roman"/>
          <w:sz w:val="24"/>
          <w:szCs w:val="24"/>
        </w:rPr>
      </w:pPr>
      <w:r w:rsidRPr="00BD4F18">
        <w:rPr>
          <w:rFonts w:ascii="Times New Roman" w:hAnsi="Times New Roman"/>
          <w:sz w:val="24"/>
          <w:szCs w:val="24"/>
        </w:rPr>
        <w:t>Pierwsza część adresowana jest do podmiotów działających w sektorze usług zdrowotnych i opiekuńczych. </w:t>
      </w:r>
      <w:r w:rsidR="005F61FB" w:rsidRPr="00BD4F18">
        <w:rPr>
          <w:rFonts w:ascii="Times New Roman" w:hAnsi="Times New Roman"/>
          <w:sz w:val="24"/>
          <w:szCs w:val="24"/>
        </w:rPr>
        <w:t>Celem wprowadzenia niniejszego priorytetu jest chęć wsparcia osób zatrudnionych w sektorze usług zdrowotnych i opiekuńczych. Warunkiem skorzystania z dostępnych środków jest oświadczenie wnioskodawcy o konieczności odbycia wnioskowanego szkolenia lub nabycia określonych umiejętności z zakresu usług zdrowotnych i opiekuńczych.</w:t>
      </w:r>
    </w:p>
    <w:p w:rsidR="005F61FB" w:rsidRPr="00BD4F18" w:rsidRDefault="005F61FB" w:rsidP="005F61FB">
      <w:pPr>
        <w:spacing w:after="0" w:line="240" w:lineRule="auto"/>
        <w:jc w:val="both"/>
        <w:rPr>
          <w:rFonts w:ascii="Times New Roman" w:hAnsi="Times New Roman"/>
          <w:sz w:val="24"/>
          <w:szCs w:val="24"/>
        </w:rPr>
      </w:pPr>
      <w:r w:rsidRPr="00BD4F18">
        <w:rPr>
          <w:rFonts w:ascii="Times New Roman" w:hAnsi="Times New Roman"/>
          <w:sz w:val="24"/>
          <w:szCs w:val="24"/>
        </w:rPr>
        <w:t>Dostęp do priorytetu ma każdy wnioskodawca posiadający PKD 2007 w Sekcji Q lub PKD 2025 w Sekcji</w:t>
      </w:r>
      <w:r w:rsidRPr="00BD4F18">
        <w:rPr>
          <w:rFonts w:ascii="Times New Roman" w:hAnsi="Times New Roman"/>
          <w:b/>
          <w:bCs/>
          <w:sz w:val="24"/>
          <w:szCs w:val="24"/>
        </w:rPr>
        <w:t xml:space="preserve"> </w:t>
      </w:r>
      <w:r w:rsidRPr="00BD4F18">
        <w:rPr>
          <w:rFonts w:ascii="Times New Roman" w:hAnsi="Times New Roman"/>
          <w:sz w:val="24"/>
          <w:szCs w:val="24"/>
        </w:rPr>
        <w:t>R tj. Opieka zdrowotna i pomoc społeczna w działach:</w:t>
      </w:r>
    </w:p>
    <w:p w:rsidR="005F61FB" w:rsidRPr="00BD4F18" w:rsidRDefault="005F61FB" w:rsidP="005F61FB">
      <w:pPr>
        <w:numPr>
          <w:ilvl w:val="0"/>
          <w:numId w:val="2"/>
        </w:numPr>
        <w:spacing w:after="0" w:line="240" w:lineRule="auto"/>
        <w:jc w:val="both"/>
        <w:rPr>
          <w:rFonts w:ascii="Times New Roman" w:hAnsi="Times New Roman"/>
          <w:sz w:val="24"/>
          <w:szCs w:val="24"/>
        </w:rPr>
      </w:pPr>
      <w:r w:rsidRPr="00BD4F18">
        <w:rPr>
          <w:rFonts w:ascii="Times New Roman" w:hAnsi="Times New Roman"/>
          <w:sz w:val="24"/>
          <w:szCs w:val="24"/>
        </w:rPr>
        <w:t xml:space="preserve">86 - opieka zdrowotna, </w:t>
      </w:r>
    </w:p>
    <w:p w:rsidR="005F61FB" w:rsidRPr="00BD4F18" w:rsidRDefault="005F61FB" w:rsidP="005F61FB">
      <w:pPr>
        <w:numPr>
          <w:ilvl w:val="0"/>
          <w:numId w:val="2"/>
        </w:numPr>
        <w:spacing w:after="0" w:line="240" w:lineRule="auto"/>
        <w:jc w:val="both"/>
        <w:rPr>
          <w:rFonts w:ascii="Times New Roman" w:hAnsi="Times New Roman"/>
          <w:sz w:val="24"/>
          <w:szCs w:val="24"/>
        </w:rPr>
      </w:pPr>
      <w:r w:rsidRPr="00BD4F18">
        <w:rPr>
          <w:rFonts w:ascii="Times New Roman" w:hAnsi="Times New Roman"/>
          <w:sz w:val="24"/>
          <w:szCs w:val="24"/>
        </w:rPr>
        <w:t>87 - pomoc społeczna z zakwaterowaniem,</w:t>
      </w:r>
    </w:p>
    <w:p w:rsidR="005F61FB" w:rsidRPr="00BD4F18" w:rsidRDefault="005F61FB" w:rsidP="005F61FB">
      <w:pPr>
        <w:numPr>
          <w:ilvl w:val="0"/>
          <w:numId w:val="2"/>
        </w:numPr>
        <w:spacing w:after="0" w:line="240" w:lineRule="auto"/>
        <w:jc w:val="both"/>
        <w:rPr>
          <w:rFonts w:ascii="Times New Roman" w:hAnsi="Times New Roman"/>
          <w:sz w:val="24"/>
          <w:szCs w:val="24"/>
        </w:rPr>
      </w:pPr>
      <w:r w:rsidRPr="00BD4F18">
        <w:rPr>
          <w:rFonts w:ascii="Times New Roman" w:hAnsi="Times New Roman"/>
          <w:sz w:val="24"/>
          <w:szCs w:val="24"/>
        </w:rPr>
        <w:t>88 - pomoc społeczna bez zakwaterowania.</w:t>
      </w:r>
    </w:p>
    <w:p w:rsidR="005F61FB" w:rsidRPr="00BD4F18" w:rsidRDefault="005F61FB" w:rsidP="005F61FB">
      <w:pPr>
        <w:pStyle w:val="Default"/>
        <w:ind w:left="1843"/>
        <w:jc w:val="both"/>
        <w:rPr>
          <w:color w:val="auto"/>
        </w:rPr>
      </w:pPr>
    </w:p>
    <w:p w:rsidR="005F61FB" w:rsidRPr="00BD4F18" w:rsidRDefault="005F61FB" w:rsidP="005F61FB">
      <w:pPr>
        <w:pStyle w:val="Default"/>
        <w:jc w:val="both"/>
        <w:rPr>
          <w:color w:val="auto"/>
        </w:rPr>
      </w:pPr>
      <w:r w:rsidRPr="00BD4F18">
        <w:rPr>
          <w:color w:val="auto"/>
        </w:rPr>
        <w:t xml:space="preserve">W ramach tego priorytetu można dofinansować dopuszczalne ustawą formy kształcenia ustawicznego bezpośrednio związane z szeroko pojęta opieką zdrowotna czy opieką społeczną. </w:t>
      </w:r>
    </w:p>
    <w:p w:rsidR="005F61FB" w:rsidRPr="00BD4F18" w:rsidRDefault="005F61FB" w:rsidP="005F61FB">
      <w:pPr>
        <w:pStyle w:val="Default"/>
        <w:jc w:val="both"/>
        <w:rPr>
          <w:color w:val="auto"/>
        </w:rPr>
      </w:pPr>
      <w:r w:rsidRPr="00BD4F18">
        <w:rPr>
          <w:color w:val="auto"/>
        </w:rPr>
        <w:t>W ramach KFS nie można finansować tych samych szkoleń, na które przeznaczone są inne środki publiczne np. środki na specjalizacje pielęgniarek i położnych.</w:t>
      </w:r>
      <w:hyperlink r:id="rId9" w:history="1">
        <w:r w:rsidRPr="00BD4F18">
          <w:rPr>
            <w:color w:val="auto"/>
          </w:rPr>
          <w:br/>
        </w:r>
      </w:hyperlink>
    </w:p>
    <w:p w:rsidR="005F61FB" w:rsidRPr="00BD4F18" w:rsidRDefault="005F61FB" w:rsidP="005F61FB">
      <w:pPr>
        <w:pStyle w:val="Default"/>
        <w:jc w:val="both"/>
        <w:rPr>
          <w:b/>
          <w:color w:val="auto"/>
        </w:rPr>
      </w:pPr>
      <w:r w:rsidRPr="00BD4F18">
        <w:rPr>
          <w:color w:val="auto"/>
        </w:rPr>
        <w:t>Podmiotami uprawnionymi do korzystania ze środków w ramach</w:t>
      </w:r>
      <w:r w:rsidR="00D827DE" w:rsidRPr="00BD4F18">
        <w:rPr>
          <w:color w:val="auto"/>
        </w:rPr>
        <w:t xml:space="preserve"> drugiej części</w:t>
      </w:r>
      <w:r w:rsidRPr="00BD4F18">
        <w:rPr>
          <w:color w:val="auto"/>
        </w:rPr>
        <w:t xml:space="preserve"> niniejszego priorytetu są</w:t>
      </w:r>
      <w:r w:rsidRPr="00BD4F18">
        <w:rPr>
          <w:b/>
          <w:color w:val="auto"/>
        </w:rPr>
        <w:t xml:space="preserve">: </w:t>
      </w:r>
    </w:p>
    <w:p w:rsidR="005F61FB" w:rsidRPr="00BD4F18" w:rsidRDefault="005F61FB" w:rsidP="005F61FB">
      <w:pPr>
        <w:pStyle w:val="Default"/>
        <w:jc w:val="both"/>
        <w:rPr>
          <w:color w:val="auto"/>
        </w:rPr>
      </w:pPr>
    </w:p>
    <w:p w:rsidR="005F61FB" w:rsidRPr="00BD4F18" w:rsidRDefault="005F61FB" w:rsidP="005F61FB">
      <w:pPr>
        <w:pStyle w:val="Default"/>
        <w:jc w:val="both"/>
        <w:rPr>
          <w:color w:val="auto"/>
        </w:rPr>
      </w:pPr>
      <w:r w:rsidRPr="00BD4F18">
        <w:rPr>
          <w:color w:val="auto"/>
        </w:rPr>
        <w:lastRenderedPageBreak/>
        <w:t xml:space="preserve">a) </w:t>
      </w:r>
      <w:r w:rsidRPr="00BD4F18">
        <w:rPr>
          <w:b/>
          <w:color w:val="auto"/>
        </w:rPr>
        <w:t>Przedsiębiorstwa społeczne</w:t>
      </w:r>
      <w:r w:rsidRPr="00BD4F18">
        <w:rPr>
          <w:color w:val="auto"/>
        </w:rPr>
        <w:t xml:space="preserve"> wpisane do wykazu przedsiębiorstw społecznych, który zgodnie z ustawą o ekonomii społecznej prowadzony jest przez </w:t>
      </w:r>
      <w:proofErr w:type="spellStart"/>
      <w:r w:rsidRPr="00BD4F18">
        <w:rPr>
          <w:color w:val="auto"/>
        </w:rPr>
        <w:t>MRPiPS</w:t>
      </w:r>
      <w:proofErr w:type="spellEnd"/>
      <w:r w:rsidRPr="00BD4F18">
        <w:rPr>
          <w:color w:val="auto"/>
        </w:rPr>
        <w:t xml:space="preserve"> w systemie Rejestr Jednostek Polityki Społecznej (RJPS), pod adresem </w:t>
      </w:r>
      <w:hyperlink r:id="rId10" w:history="1">
        <w:r w:rsidRPr="00BD4F18">
          <w:rPr>
            <w:rStyle w:val="Hipercze"/>
          </w:rPr>
          <w:t>https://rjps.mpips.gov.pl/RJPS/RU/start.do?id_menu=59</w:t>
        </w:r>
      </w:hyperlink>
      <w:r w:rsidRPr="00BD4F18">
        <w:rPr>
          <w:color w:val="auto"/>
        </w:rPr>
        <w:t xml:space="preserve">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w:t>
      </w:r>
    </w:p>
    <w:p w:rsidR="005F61FB" w:rsidRPr="00BD4F18" w:rsidRDefault="005F61FB" w:rsidP="005F61FB">
      <w:pPr>
        <w:pStyle w:val="Default"/>
        <w:jc w:val="both"/>
        <w:rPr>
          <w:color w:val="auto"/>
        </w:rPr>
      </w:pPr>
      <w:r w:rsidRPr="00BD4F18">
        <w:rPr>
          <w:b/>
          <w:color w:val="auto"/>
        </w:rPr>
        <w:t>b) Spółdzielnie socjalne</w:t>
      </w:r>
      <w:r w:rsidRPr="00BD4F18">
        <w:rPr>
          <w:color w:val="auto"/>
        </w:rPr>
        <w:t xml:space="preserve"> –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5F61FB" w:rsidRPr="00BD4F18" w:rsidRDefault="005F61FB" w:rsidP="005F61FB">
      <w:pPr>
        <w:spacing w:after="0" w:line="276" w:lineRule="auto"/>
        <w:jc w:val="both"/>
        <w:rPr>
          <w:rFonts w:ascii="Times New Roman" w:hAnsi="Times New Roman"/>
          <w:sz w:val="24"/>
          <w:szCs w:val="24"/>
        </w:rPr>
      </w:pPr>
    </w:p>
    <w:p w:rsidR="005F61FB" w:rsidRPr="00BD4F18" w:rsidRDefault="005F61FB" w:rsidP="005F61FB">
      <w:pPr>
        <w:pStyle w:val="Default"/>
        <w:jc w:val="both"/>
        <w:rPr>
          <w:color w:val="auto"/>
        </w:rPr>
      </w:pPr>
      <w:r w:rsidRPr="00BD4F18">
        <w:rPr>
          <w:color w:val="auto"/>
        </w:rPr>
        <w:t xml:space="preserve">Ze środków w ramach tego priorytetu korzystać mogą wszyscy pracownicy przedsiębiorstw społecznych oraz pracownicy i członkowie spółdzielni socjalnych. Należy uzasadnić, że wnioskowana forma kształcenia ustawicznego niezbędna jest przy wykonywaniu obowiązków służbowych. </w:t>
      </w:r>
    </w:p>
    <w:p w:rsidR="00BA3C43" w:rsidRPr="00BD4F18" w:rsidRDefault="00BA3C43">
      <w:pPr>
        <w:rPr>
          <w:rFonts w:ascii="Times New Roman" w:hAnsi="Times New Roman"/>
        </w:rPr>
      </w:pPr>
    </w:p>
    <w:sectPr w:rsidR="00BA3C43" w:rsidRPr="00BD4F1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D78" w:rsidRDefault="009D0D78" w:rsidP="009D0D78">
      <w:pPr>
        <w:spacing w:after="0" w:line="240" w:lineRule="auto"/>
      </w:pPr>
      <w:r>
        <w:separator/>
      </w:r>
    </w:p>
  </w:endnote>
  <w:endnote w:type="continuationSeparator" w:id="0">
    <w:p w:rsidR="009D0D78" w:rsidRDefault="009D0D78" w:rsidP="009D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D78" w:rsidRDefault="009D0D78" w:rsidP="009D0D78">
      <w:pPr>
        <w:spacing w:after="0" w:line="240" w:lineRule="auto"/>
      </w:pPr>
      <w:r>
        <w:separator/>
      </w:r>
    </w:p>
  </w:footnote>
  <w:footnote w:type="continuationSeparator" w:id="0">
    <w:p w:rsidR="009D0D78" w:rsidRDefault="009D0D78" w:rsidP="009D0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D78" w:rsidRDefault="009D0D78">
    <w:pPr>
      <w:pStyle w:val="Nagwek"/>
    </w:pPr>
    <w:r w:rsidRPr="00DD3E44">
      <w:rPr>
        <w:rFonts w:ascii="Arial" w:hAnsi="Arial" w:cs="Arial"/>
        <w:b/>
        <w:noProof/>
      </w:rPr>
      <w:drawing>
        <wp:inline distT="0" distB="0" distL="0" distR="0" wp14:anchorId="7F08A0BE" wp14:editId="090B908A">
          <wp:extent cx="130492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389" t="-459" r="-389" b="-459"/>
                  <a:stretch>
                    <a:fillRect/>
                  </a:stretch>
                </pic:blipFill>
                <pic:spPr bwMode="auto">
                  <a:xfrm>
                    <a:off x="0" y="0"/>
                    <a:ext cx="1304925" cy="542925"/>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D085E"/>
    <w:multiLevelType w:val="hybridMultilevel"/>
    <w:tmpl w:val="D57CB1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8F3355"/>
    <w:multiLevelType w:val="hybridMultilevel"/>
    <w:tmpl w:val="FFFFFFFF"/>
    <w:lvl w:ilvl="0" w:tplc="04150001">
      <w:start w:val="1"/>
      <w:numFmt w:val="bullet"/>
      <w:lvlText w:val=""/>
      <w:lvlJc w:val="left"/>
      <w:pPr>
        <w:ind w:left="2693" w:hanging="360"/>
      </w:pPr>
      <w:rPr>
        <w:rFonts w:ascii="Symbol" w:hAnsi="Symbol" w:hint="default"/>
      </w:rPr>
    </w:lvl>
    <w:lvl w:ilvl="1" w:tplc="04150003" w:tentative="1">
      <w:start w:val="1"/>
      <w:numFmt w:val="bullet"/>
      <w:lvlText w:val="o"/>
      <w:lvlJc w:val="left"/>
      <w:pPr>
        <w:ind w:left="3413" w:hanging="360"/>
      </w:pPr>
      <w:rPr>
        <w:rFonts w:ascii="Courier New" w:hAnsi="Courier New" w:hint="default"/>
      </w:rPr>
    </w:lvl>
    <w:lvl w:ilvl="2" w:tplc="04150005" w:tentative="1">
      <w:start w:val="1"/>
      <w:numFmt w:val="bullet"/>
      <w:lvlText w:val=""/>
      <w:lvlJc w:val="left"/>
      <w:pPr>
        <w:ind w:left="4133" w:hanging="360"/>
      </w:pPr>
      <w:rPr>
        <w:rFonts w:ascii="Wingdings" w:hAnsi="Wingdings" w:hint="default"/>
      </w:rPr>
    </w:lvl>
    <w:lvl w:ilvl="3" w:tplc="04150001" w:tentative="1">
      <w:start w:val="1"/>
      <w:numFmt w:val="bullet"/>
      <w:lvlText w:val=""/>
      <w:lvlJc w:val="left"/>
      <w:pPr>
        <w:ind w:left="4853" w:hanging="360"/>
      </w:pPr>
      <w:rPr>
        <w:rFonts w:ascii="Symbol" w:hAnsi="Symbol" w:hint="default"/>
      </w:rPr>
    </w:lvl>
    <w:lvl w:ilvl="4" w:tplc="04150003" w:tentative="1">
      <w:start w:val="1"/>
      <w:numFmt w:val="bullet"/>
      <w:lvlText w:val="o"/>
      <w:lvlJc w:val="left"/>
      <w:pPr>
        <w:ind w:left="5573" w:hanging="360"/>
      </w:pPr>
      <w:rPr>
        <w:rFonts w:ascii="Courier New" w:hAnsi="Courier New" w:hint="default"/>
      </w:rPr>
    </w:lvl>
    <w:lvl w:ilvl="5" w:tplc="04150005" w:tentative="1">
      <w:start w:val="1"/>
      <w:numFmt w:val="bullet"/>
      <w:lvlText w:val=""/>
      <w:lvlJc w:val="left"/>
      <w:pPr>
        <w:ind w:left="6293" w:hanging="360"/>
      </w:pPr>
      <w:rPr>
        <w:rFonts w:ascii="Wingdings" w:hAnsi="Wingdings" w:hint="default"/>
      </w:rPr>
    </w:lvl>
    <w:lvl w:ilvl="6" w:tplc="04150001" w:tentative="1">
      <w:start w:val="1"/>
      <w:numFmt w:val="bullet"/>
      <w:lvlText w:val=""/>
      <w:lvlJc w:val="left"/>
      <w:pPr>
        <w:ind w:left="7013" w:hanging="360"/>
      </w:pPr>
      <w:rPr>
        <w:rFonts w:ascii="Symbol" w:hAnsi="Symbol" w:hint="default"/>
      </w:rPr>
    </w:lvl>
    <w:lvl w:ilvl="7" w:tplc="04150003" w:tentative="1">
      <w:start w:val="1"/>
      <w:numFmt w:val="bullet"/>
      <w:lvlText w:val="o"/>
      <w:lvlJc w:val="left"/>
      <w:pPr>
        <w:ind w:left="7733" w:hanging="360"/>
      </w:pPr>
      <w:rPr>
        <w:rFonts w:ascii="Courier New" w:hAnsi="Courier New" w:hint="default"/>
      </w:rPr>
    </w:lvl>
    <w:lvl w:ilvl="8" w:tplc="04150005" w:tentative="1">
      <w:start w:val="1"/>
      <w:numFmt w:val="bullet"/>
      <w:lvlText w:val=""/>
      <w:lvlJc w:val="left"/>
      <w:pPr>
        <w:ind w:left="8453" w:hanging="360"/>
      </w:pPr>
      <w:rPr>
        <w:rFonts w:ascii="Wingdings" w:hAnsi="Wingdings" w:hint="default"/>
      </w:rPr>
    </w:lvl>
  </w:abstractNum>
  <w:abstractNum w:abstractNumId="2" w15:restartNumberingAfterBreak="0">
    <w:nsid w:val="7EE56832"/>
    <w:multiLevelType w:val="hybridMultilevel"/>
    <w:tmpl w:val="FFFFFFFF"/>
    <w:lvl w:ilvl="0" w:tplc="04150001">
      <w:start w:val="1"/>
      <w:numFmt w:val="bullet"/>
      <w:lvlText w:val=""/>
      <w:lvlJc w:val="left"/>
      <w:pPr>
        <w:ind w:left="5475" w:hanging="360"/>
      </w:pPr>
      <w:rPr>
        <w:rFonts w:ascii="Symbol" w:hAnsi="Symbol" w:hint="default"/>
      </w:rPr>
    </w:lvl>
    <w:lvl w:ilvl="1" w:tplc="04150003" w:tentative="1">
      <w:start w:val="1"/>
      <w:numFmt w:val="bullet"/>
      <w:lvlText w:val="o"/>
      <w:lvlJc w:val="left"/>
      <w:pPr>
        <w:ind w:left="6195" w:hanging="360"/>
      </w:pPr>
      <w:rPr>
        <w:rFonts w:ascii="Courier New" w:hAnsi="Courier New" w:hint="default"/>
      </w:rPr>
    </w:lvl>
    <w:lvl w:ilvl="2" w:tplc="04150005" w:tentative="1">
      <w:start w:val="1"/>
      <w:numFmt w:val="bullet"/>
      <w:lvlText w:val=""/>
      <w:lvlJc w:val="left"/>
      <w:pPr>
        <w:ind w:left="6915" w:hanging="360"/>
      </w:pPr>
      <w:rPr>
        <w:rFonts w:ascii="Wingdings" w:hAnsi="Wingdings" w:hint="default"/>
      </w:rPr>
    </w:lvl>
    <w:lvl w:ilvl="3" w:tplc="04150001" w:tentative="1">
      <w:start w:val="1"/>
      <w:numFmt w:val="bullet"/>
      <w:lvlText w:val=""/>
      <w:lvlJc w:val="left"/>
      <w:pPr>
        <w:ind w:left="7635" w:hanging="360"/>
      </w:pPr>
      <w:rPr>
        <w:rFonts w:ascii="Symbol" w:hAnsi="Symbol" w:hint="default"/>
      </w:rPr>
    </w:lvl>
    <w:lvl w:ilvl="4" w:tplc="04150003" w:tentative="1">
      <w:start w:val="1"/>
      <w:numFmt w:val="bullet"/>
      <w:lvlText w:val="o"/>
      <w:lvlJc w:val="left"/>
      <w:pPr>
        <w:ind w:left="8355" w:hanging="360"/>
      </w:pPr>
      <w:rPr>
        <w:rFonts w:ascii="Courier New" w:hAnsi="Courier New" w:hint="default"/>
      </w:rPr>
    </w:lvl>
    <w:lvl w:ilvl="5" w:tplc="04150005" w:tentative="1">
      <w:start w:val="1"/>
      <w:numFmt w:val="bullet"/>
      <w:lvlText w:val=""/>
      <w:lvlJc w:val="left"/>
      <w:pPr>
        <w:ind w:left="9075" w:hanging="360"/>
      </w:pPr>
      <w:rPr>
        <w:rFonts w:ascii="Wingdings" w:hAnsi="Wingdings" w:hint="default"/>
      </w:rPr>
    </w:lvl>
    <w:lvl w:ilvl="6" w:tplc="04150001" w:tentative="1">
      <w:start w:val="1"/>
      <w:numFmt w:val="bullet"/>
      <w:lvlText w:val=""/>
      <w:lvlJc w:val="left"/>
      <w:pPr>
        <w:ind w:left="9795" w:hanging="360"/>
      </w:pPr>
      <w:rPr>
        <w:rFonts w:ascii="Symbol" w:hAnsi="Symbol" w:hint="default"/>
      </w:rPr>
    </w:lvl>
    <w:lvl w:ilvl="7" w:tplc="04150003" w:tentative="1">
      <w:start w:val="1"/>
      <w:numFmt w:val="bullet"/>
      <w:lvlText w:val="o"/>
      <w:lvlJc w:val="left"/>
      <w:pPr>
        <w:ind w:left="10515" w:hanging="360"/>
      </w:pPr>
      <w:rPr>
        <w:rFonts w:ascii="Courier New" w:hAnsi="Courier New" w:hint="default"/>
      </w:rPr>
    </w:lvl>
    <w:lvl w:ilvl="8" w:tplc="04150005" w:tentative="1">
      <w:start w:val="1"/>
      <w:numFmt w:val="bullet"/>
      <w:lvlText w:val=""/>
      <w:lvlJc w:val="left"/>
      <w:pPr>
        <w:ind w:left="1123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F6"/>
    <w:rsid w:val="00007926"/>
    <w:rsid w:val="0021201A"/>
    <w:rsid w:val="003223FA"/>
    <w:rsid w:val="003462E4"/>
    <w:rsid w:val="003948C3"/>
    <w:rsid w:val="00417A9A"/>
    <w:rsid w:val="00583A8A"/>
    <w:rsid w:val="005F5AA8"/>
    <w:rsid w:val="005F61FB"/>
    <w:rsid w:val="006718AC"/>
    <w:rsid w:val="008D6CF6"/>
    <w:rsid w:val="009D0D78"/>
    <w:rsid w:val="00BA3C43"/>
    <w:rsid w:val="00BD4F18"/>
    <w:rsid w:val="00D827DE"/>
    <w:rsid w:val="00DF4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3516"/>
  <w15:chartTrackingRefBased/>
  <w15:docId w15:val="{84F0E7A3-82B5-4EC0-BD48-CF9D37C6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61FB"/>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5F61FB"/>
    <w:rPr>
      <w:rFonts w:cs="Times New Roman"/>
      <w:color w:val="0000FF"/>
      <w:u w:val="single"/>
    </w:rPr>
  </w:style>
  <w:style w:type="paragraph" w:customStyle="1" w:styleId="Default">
    <w:name w:val="Default"/>
    <w:rsid w:val="005F61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Tekstdymka">
    <w:name w:val="Balloon Text"/>
    <w:basedOn w:val="Normalny"/>
    <w:link w:val="TekstdymkaZnak"/>
    <w:uiPriority w:val="99"/>
    <w:semiHidden/>
    <w:unhideWhenUsed/>
    <w:rsid w:val="00417A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7A9A"/>
    <w:rPr>
      <w:rFonts w:ascii="Segoe UI" w:eastAsiaTheme="minorEastAsia" w:hAnsi="Segoe UI" w:cs="Segoe UI"/>
      <w:sz w:val="18"/>
      <w:szCs w:val="18"/>
      <w:lang w:eastAsia="pl-PL"/>
    </w:rPr>
  </w:style>
  <w:style w:type="character" w:styleId="Pogrubienie">
    <w:name w:val="Strong"/>
    <w:basedOn w:val="Domylnaczcionkaakapitu"/>
    <w:uiPriority w:val="22"/>
    <w:qFormat/>
    <w:rsid w:val="005F5AA8"/>
    <w:rPr>
      <w:b/>
      <w:bCs/>
    </w:rPr>
  </w:style>
  <w:style w:type="paragraph" w:styleId="Akapitzlist">
    <w:name w:val="List Paragraph"/>
    <w:basedOn w:val="Normalny"/>
    <w:uiPriority w:val="34"/>
    <w:qFormat/>
    <w:rsid w:val="005F5AA8"/>
    <w:pPr>
      <w:ind w:left="720"/>
      <w:contextualSpacing/>
    </w:pPr>
  </w:style>
  <w:style w:type="paragraph" w:styleId="Nagwek">
    <w:name w:val="header"/>
    <w:basedOn w:val="Normalny"/>
    <w:link w:val="NagwekZnak"/>
    <w:uiPriority w:val="99"/>
    <w:unhideWhenUsed/>
    <w:rsid w:val="009D0D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D78"/>
    <w:rPr>
      <w:rFonts w:eastAsiaTheme="minorEastAsia" w:cs="Times New Roman"/>
      <w:lang w:eastAsia="pl-PL"/>
    </w:rPr>
  </w:style>
  <w:style w:type="paragraph" w:styleId="Stopka">
    <w:name w:val="footer"/>
    <w:basedOn w:val="Normalny"/>
    <w:link w:val="StopkaZnak"/>
    <w:uiPriority w:val="99"/>
    <w:unhideWhenUsed/>
    <w:rsid w:val="009D0D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D78"/>
    <w:rPr>
      <w:rFonts w:eastAsiaTheme="minorEastAsia"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nowlubelski.praca.gov.pl/documents/d/powiatowy-urzad-pracy-w-janowie-lubelskim/barometr_zawodow_wojewodztwo_lubelskie_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anowlubelski.praca.gov.pl/documents/d/powiatowy-urzad-pracy-w-janowie-lubelskim/barometr_zawodow_wojewodztwo_lubelskie_powiat_janowski_20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rjps.mpips.gov.pl/RJPS/RU/start.do?id_menu=59" TargetMode="External"/><Relationship Id="rId4" Type="http://schemas.openxmlformats.org/officeDocument/2006/relationships/webSettings" Target="webSettings.xml"/><Relationship Id="rId9" Type="http://schemas.openxmlformats.org/officeDocument/2006/relationships/hyperlink" Target="https://janowlubelski.praca.gov.pl/documents/d/powiatowy-urzad-pracy-w-janowie-lubelskim/oswiadczenie-wnioskodawcy-dotyczace-priorytetu-7-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1297</Words>
  <Characters>7785</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monika.dasko</dc:creator>
  <cp:keywords/>
  <dc:description/>
  <cp:lastModifiedBy>monika.dasko</cp:lastModifiedBy>
  <cp:revision>14</cp:revision>
  <cp:lastPrinted>2026-03-27T14:01:00Z</cp:lastPrinted>
  <dcterms:created xsi:type="dcterms:W3CDTF">2026-03-05T12:27:00Z</dcterms:created>
  <dcterms:modified xsi:type="dcterms:W3CDTF">2026-03-30T09:00:00Z</dcterms:modified>
</cp:coreProperties>
</file>